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Eigentümer nicht der Schuldner, so geht, soweit er den Gläubiger befriedigt, die Forderung auf ihn über; der Übergang kann nicht zum Nachteil des Gläubigers geltend gemacht werden. Einwendungen des Schuldners aus dem zwischen ihm und dem Eigentümer bestehenden Rechtsverhältnis bleiben unberührt.</w:t>
      </w:r>
    </w:p>
    <w:p>
      <w:r>
        <w:t xml:space="preserve">(2) Besteht für die Forderung eine Gesamtschiffshypothek, so gelten für diese die Vorschriften des § 69.</w:t>
      </w:r>
    </w:p>
    <w:p>
      <w:r>
        <w:rPr>
          <w:color w:val="555555"/>
          <w:sz w:val="17"/>
        </w:rPr>
        <w:t xml:space="preserve">Zitiervorschlag: § 44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