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Der Eigentümer kann gegen die Schiffshypothek die dem Schuldner gegen die Forderung zustehenden Einreden geltend machen. Er kann die Befriedigung des Gläubigers verweigern, solange dem Schuldner das Recht zusteht, das seiner Verbindlichkeit zugrunde liegende Rechtsgeschäft anzufechten. Die gleiche Befugnis hat der Eigentümer, solange sich der Gläubiger durch Aufrechnung gegen eine fällige Forderung des Schuldners befriedigen kann. Stirbt der Schuldner, so kann sich der Eigentümer nicht darauf berufen, daß der Erbe für die Schuld nur beschränkt haftet.</w:t>
      </w:r>
    </w:p>
    <w:p>
      <w:r>
        <w:t xml:space="preserve">(2) Ist der Eigentümer nicht der Schuldner, so verliert er eine Einrede nicht dadurch, daß der Schuldner auf sie verzichtet.</w:t>
      </w:r>
    </w:p>
    <w:p>
      <w:r>
        <w:rPr>
          <w:color w:val="555555"/>
          <w:sz w:val="17"/>
        </w:rPr>
        <w:t xml:space="preserve">Zitiervorschlag: § 41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