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 SchRG</w:t>
      </w:r>
    </w:p>
    <w:p>
      <w:r>
        <w:rPr>
          <w:color w:val="555555"/>
          <w:sz w:val="18"/>
        </w:rPr>
        <w:t xml:space="preserve">Gesetz über Rechte an eingetragenen Schiffen und Schiffsbauwerken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Ist infolge der Einwirkung eines Dritten eine die Sicherheit der Schiffshypothek gefährdende Verschlechterung des Schiffs zu besorgen, so kann der Gläubiger gegen ihn nur auf Unterlassung klagen.</w:t>
      </w:r>
    </w:p>
    <w:p>
      <w:r>
        <w:rPr>
          <w:color w:val="555555"/>
          <w:sz w:val="17"/>
        </w:rPr>
        <w:t xml:space="preserve">Zitiervorschlag: § 40 SchRG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https://recht.nulegal.eu/gesetze/SchRG/40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