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Eine Zahlung des Versicherers auf die Versicherungsforderung ist dem Gläubiger gegenüber wirksam, soweit sie zum Zweck der Wiederherstellung des Schiffs bewirkt wird und die Wiederherstellung des Schiffs gesichert ist. Das gleiche gilt von Zahlungen des Versicherers zum Zweck der Befriedigung von Schiffsgläubigern, deren Ansprüche der Schiffshypothek im Rang vorgehen, soweit die Befriedigung dieser Schiffsgläubiger gesichert ist.</w:t>
      </w:r>
    </w:p>
    <w:p>
      <w:r>
        <w:t xml:space="preserve">(2) Die Haftung der Forderung gegen den Versicherer erlischt, soweit das Schiff wiederhergestellt oder für Zubehörstücke Ersatz beschafft worden ist. Das gleiche gilt, soweit Verpflichtungen des Eigentümers erfüllt worden sind, die von der Versicherung umfaßt waren und für die ein der Schiffshypothek im Rang vorgehendes Schiffsgläubigerrecht bestand.</w:t>
      </w:r>
    </w:p>
    <w:p>
      <w:r>
        <w:rPr>
          <w:color w:val="555555"/>
          <w:sz w:val="17"/>
        </w:rPr>
        <w:t xml:space="preserve">Zitiervorschlag: § 33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