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Die Schiffshypothek erstreckt sich auf das Zubehör des Schiffs mit Ausnahme der Zubehörstücke, die nicht in das Eigentum des Schiffseigentümers gelangt sind.</w:t>
      </w:r>
    </w:p>
    <w:p>
      <w:r>
        <w:t xml:space="preserve">(2) Zubehörstücke werden von der Haftung frei, wenn ihre Zubehöreigenschaft in den Grenzen einer ordnungsmäßigen Wirtschaft aufgehoben wird oder die Stücke veräußert und von dem Schiff entfernt werden, bevor sie zugunsten des Gläubigers in Beschlag genommen worden sind. § 1121 Abs. 2 des Bürgerlichen Gesetzbuchs gilt sinngemäß.</w:t>
      </w:r>
    </w:p>
    <w:p>
      <w:r>
        <w:t xml:space="preserve">(3) Absatz 2 gilt für die Bestandteile sinngemäß mit der Maßgabe, daß an Stelle der Aufhebung der Zubehöreigenschaft die Trennung und Entfernung von dem Schiff tritt, sofern nicht die Entfernung nur zu einem vorübergehenden Zweck erfolgt.</w:t>
      </w:r>
    </w:p>
    <w:p>
      <w:r>
        <w:rPr>
          <w:color w:val="555555"/>
          <w:sz w:val="17"/>
        </w:rPr>
        <w:t xml:space="preserve">Zitiervorschlag: § 31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