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Forderung unverzinslich oder ist der Zinssatz niedriger als fünf vom Hundert, so kann die Schiffshypothek ohne die Zustimmung der im Rang gleich- oder nachstehenden Berechtigten dahin erweitert werden, daß das Schiff für Zinsen bis zu fünf vom Hundert haftet.</w:t>
      </w:r>
    </w:p>
    <w:p>
      <w:r>
        <w:t xml:space="preserve">(2) Zu einer Änderung der Zahlungszeit und des Zahlungsorts ist die Zustimmung dieser Berechtigten gleichfalls nicht erforderlich.</w:t>
      </w:r>
    </w:p>
    <w:p>
      <w:r>
        <w:rPr>
          <w:color w:val="555555"/>
          <w:sz w:val="17"/>
        </w:rPr>
        <w:t xml:space="preserve">Zitiervorschlag: § 30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