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Das Rangverhältnis kann nachträglich geändert werden. Der nachträglichen Änderung des Rangverhältnisses steht es gleich, wenn der Rang einer bereits eingetragenen Schiffshypothek zugleich mit der Eintragung einer neuen Schiffshypothek zu deren Gunsten geändert wird.</w:t>
      </w:r>
    </w:p>
    <w:p>
      <w:r>
        <w:t xml:space="preserve">(2) Zu der Rangänderung ist die Einigung des zurücktretenden und des vortretenden Berechtigten, die Zustimmung des Eigentümers sowie die Eintragung in das Schiffsregister erforderlich. Für die Einigung gilt § 3 Abs. 2, 3 sinngemäß. Die Zustimmung ist dem Registergericht oder einem der Beteiligten gegenüber zu erklären; sie ist unwiderruflich.</w:t>
      </w:r>
    </w:p>
    <w:p>
      <w:r>
        <w:t xml:space="preserve">(3) Ist die zurücktretende Schiffshypothek mit dem Recht eines Dritten belastet, so ist auch seine Zustimmung erforderlich; Absatz 2 Satz 3 gilt sinngemäß.</w:t>
      </w:r>
    </w:p>
    <w:p>
      <w:r>
        <w:t xml:space="preserve">(4) Der eingeräumte Vorrang geht nicht dadurch verloren, daß die zurücktretende Schiffshypothek durch Rechtsgeschäft aufgehoben wird.</w:t>
      </w:r>
    </w:p>
    <w:p>
      <w:r>
        <w:t xml:space="preserve">(5) Schiffshypotheken, die den Rang zwischen der zurücktretenden und der vortretenden Schiffshypothek haben, werden durch die Rangänderung nicht berührt.</w:t>
      </w:r>
    </w:p>
    <w:p>
      <w:r>
        <w:t xml:space="preserve">(6) Im Fall der Teilung einer Schiffshypothek ist zur Änderung des Rangverhältnisses der Teilschiffshypotheken untereinander die Zustimmung des Eigentümers nicht erforderlich.</w:t>
      </w:r>
    </w:p>
    <w:p>
      <w:r>
        <w:rPr>
          <w:color w:val="555555"/>
          <w:sz w:val="17"/>
        </w:rPr>
        <w:t xml:space="preserve">Zitiervorschlag: § 26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