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SchRG</w:t>
      </w:r>
    </w:p>
    <w:p>
      <w:r>
        <w:rPr>
          <w:color w:val="555555"/>
          <w:sz w:val="18"/>
        </w:rPr>
        <w:t xml:space="preserve">Gesetz über Rechte an eingetragenen Schiffen und Schiffsbauwerken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ein Schiff mit mehreren Schiffshypotheken belastet, so bestimmt sich ihr Rangverhältnis nach der Reihenfolge der Eintragungen. Die Eintragung ist für das Rangverhältnis auch dann maßgebend, wenn die nach § 8 Abs. 2, § 3 zur Bestellung der Schiffshypothek erforderliche Einigung erst nach der Eintragung zustande gekommen ist.</w:t>
      </w:r>
    </w:p>
    <w:p>
      <w:r>
        <w:t xml:space="preserve">(2) Eine abweichende Bestimmung des Rangverhältnisses muß in das Schiffsregister eingetragen werden.</w:t>
      </w:r>
    </w:p>
    <w:p>
      <w:r>
        <w:rPr>
          <w:color w:val="555555"/>
          <w:sz w:val="17"/>
        </w:rPr>
        <w:t xml:space="preserve">Zitiervorschlag: § 25 SchRG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