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Ansprüche aus eingetragenen Rechten unterliegen nicht der Verjährung. Dies gilt nicht für Ansprüche, die auf Rückstände wiederkehrender Leistungen oder auf Schadenersatz gerichtet sind.</w:t>
      </w:r>
    </w:p>
    <w:p>
      <w:r>
        <w:t xml:space="preserve">(2) Ein Recht, wegen dessen ein Widerspruch gegen die Richtigkeit des Schiffsregisters eingetragen ist, steht einem eingetragenen Recht gleich.</w:t>
      </w:r>
    </w:p>
    <w:p>
      <w:r>
        <w:rPr>
          <w:color w:val="555555"/>
          <w:sz w:val="17"/>
        </w:rPr>
        <w:t xml:space="preserve">Zitiervorschlag: § 23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