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Zugunsten dessen, der das Eigentum an einem Schiff, eine Schiffshypothek oder ein Recht an einer solchen oder einen Nießbrauch an einem Schiff durch Rechtsgeschäft erwirbt, gilt der Inhalt des Schiffsregisters, soweit er diese Rechte betrifft, als richtig, es sei denn, daß ein Widerspruch gegen die Richtigkeit eingetragen oder die Unrichtigkeit dem Erwerber bekannt ist. Ist der Berechtigte in der Verfügung über ein im Schiffsregister eingetragenes Recht (Satz 1) zugunsten einer bestimmten Person beschränkt, so ist die Beschränkung dem Erwerber gegenüber nur wirksam, wenn sie aus dem Schiffsregister ersichtlich oder dem Erwerber bekannt ist.</w:t>
      </w:r>
    </w:p>
    <w:p>
      <w:r>
        <w:t xml:space="preserve">(2) Ist zum Erwerb des Rechts die Eintragung erforderlich, so ist für die Kenntnis des Erwerbers die Zeit der Stellung des Antrags auf Eintragung oder, wenn die Einigung erst später zustande kommt, die Zeit der Einigung maßgebend.</w:t>
      </w:r>
    </w:p>
    <w:p>
      <w:r>
        <w:rPr>
          <w:color w:val="555555"/>
          <w:sz w:val="17"/>
        </w:rPr>
        <w:t xml:space="preserve">Zitiervorschlag: § 16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