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wird vermutet, daß Eigentümer des Schiffs ist, wer als Eigentümer im Schiffsregister eingetragen ist.</w:t>
      </w:r>
    </w:p>
    <w:p>
      <w:r>
        <w:t xml:space="preserve">(2) Ist im Schiffsregister für jemanden eine Schiffshypothek oder ein Recht an einer solchen oder ein Nießbrauch eingetragen, so wird vermutet, daß ihm das Recht zusteht.</w:t>
      </w:r>
    </w:p>
    <w:p>
      <w:r>
        <w:t xml:space="preserve">(3) Ist ein eingetragenes Recht (Absatz 1, 2) gelöscht, so wird vermutet, daß es nicht mehr besteht.</w:t>
      </w:r>
    </w:p>
    <w:p>
      <w:r>
        <w:rPr>
          <w:color w:val="555555"/>
          <w:sz w:val="17"/>
        </w:rPr>
        <w:t xml:space="preserve">Zitiervorschlag: § 15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