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6 SchRGÄndG</w:t>
      </w:r>
    </w:p>
    <w:p>
      <w:r>
        <w:rPr>
          <w:color w:val="555555"/>
          <w:sz w:val="18"/>
        </w:rPr>
        <w:t xml:space="preserve">Gesetz zur Änderung des Gesetzes über Rechte an eingetragenen Schiffen und Schiffsbauwerken, der Schiffsregisterordnung und des Gesetzes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mit dem Beginn des zweiten Kalendermonats nach der Verkündung in Kraft.</w:t>
      </w:r>
    </w:p>
    <w:p>
      <w:r>
        <w:rPr>
          <w:color w:val="555555"/>
          <w:sz w:val="17"/>
        </w:rPr>
        <w:t xml:space="preserve">Zitiervorschlag: Art 6 SchRGÄndG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https://recht.nulegal.eu/gesetze/SchRG%C3%84ndG/6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6 SchRGÄndG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