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SchRGÄndG</w:t>
      </w:r>
    </w:p>
    <w:p>
      <w:r>
        <w:rPr>
          <w:color w:val="555555"/>
          <w:sz w:val="18"/>
        </w:rPr>
        <w:t xml:space="preserve">Gesetz zur Änderung des Gesetzes über Rechte an eingetragenen Schiffen und Schiffsbauwerken, der Schiffsregisterordnung und des Gesetzes über die Zwangsversteigerung und die Zwangsverwaltung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im Bau befindliche und für fertiggestellte Schwimmdocks gelten die Vorschriften anderer als der in den Artikeln 1 und 2 genannten Gesetze, die Schiffsbauwerke betreffen, entsprechend, soweit sich aus dem Sinn dieser Vorschriften nichts anderes ergibt.</w:t>
      </w:r>
    </w:p>
    <w:p>
      <w:r>
        <w:t xml:space="preserve">(2) Auf vermietete Schwimmdocks sind die Vorschriften, die vermietete eingetragene Schiffe betreffen, entsprechend anzuwenden. Dies gilt auch für Schwimmdocks, die nicht im Schiffsbauregister eingetragen sind.</w:t>
      </w:r>
    </w:p>
    <w:p>
      <w:r>
        <w:rPr>
          <w:color w:val="555555"/>
          <w:sz w:val="17"/>
        </w:rPr>
        <w:t xml:space="preserve">Zitiervorschlag: Art 3 SchRGÄndG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https://recht.nulegal.eu/gesetze/SchRG%C3%84ndG/3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