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SchOSpL (Bayern) — Zweiter Prüfungsabschnitt</w:t>
      </w:r>
    </w:p>
    <w:p>
      <w:r>
        <w:rPr>
          <w:color w:val="555555"/>
          <w:sz w:val="18"/>
        </w:rPr>
        <w:t xml:space="preserve">Schulordnung der staatlichen Ausbildungsstätten für die Ausbildung von Sportlehrern im freien Beruf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zweite Prüfungsabschnitt besteht aus der Prüfung im Schwerpunktfach, aus der Prüfung im Wahlpflichtfach und aus der pädagogischen Prüfung.</w:t>
      </w:r>
    </w:p>
    <w:p>
      <w:r>
        <w:t xml:space="preserve">(2) Die Vorschriften für die Abschlußprüfung für die fachliche Ausbildung von Fachlehrern für Leibeserziehung finden auf den zweiten Prüfungsabschnitt entsprechende Anwendung, soweit nicht im folgenden etwas anderes bestimmt ist.</w:t>
      </w:r>
    </w:p>
    <w:p>
      <w:r>
        <w:rPr>
          <w:color w:val="555555"/>
          <w:sz w:val="17"/>
        </w:rPr>
        <w:t xml:space="preserve">Zitiervorschlag: § 7 SchOSpL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https://recht.nulegal.eu/gesetze/SchOSpL/7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