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SchOSpL (Bayern) — Hauptnote der pädagogischen Prüfung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Hauptnote für die pädagogische Prüfung wird nach § 30 SchOFL aus der einfach zu wertenden Endnote für die mündliche Prüfung (§ 18 Abs. 2) und der zweifach zu wertenden Endnote für die Lehreignung (§ 19 Abs. 2) ermittelt.</w:t>
      </w:r>
    </w:p>
    <w:p>
      <w:r>
        <w:t xml:space="preserve">[Amtl. Anm.:] Gilt noch für den Bereich der SchOSpL</w:t>
      </w:r>
    </w:p>
    <w:p>
      <w:r>
        <w:rPr>
          <w:color w:val="555555"/>
          <w:sz w:val="17"/>
        </w:rPr>
        <w:t xml:space="preserve">Zitiervorschlag: § 20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