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SchLichtReklAusbV — Dauer der Berufsausbildung</w:t>
      </w:r>
    </w:p>
    <w:p>
      <w:r>
        <w:rPr>
          <w:color w:val="555555"/>
          <w:sz w:val="18"/>
        </w:rPr>
        <w:t xml:space="preserve">Schilder- und Lichtreklame-Ausbildungsverordnung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SchLichtReklAusbV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https://recht.nulegal.eu/gesetze/SchLichtReklAusbV/2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