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SchLichtReklAusbV — Staatliche Anerkennung des Ausbildungsberufes</w:t>
      </w:r>
    </w:p>
    <w:p>
      <w:r>
        <w:rPr>
          <w:color w:val="555555"/>
          <w:sz w:val="18"/>
        </w:rPr>
        <w:t xml:space="preserve">Schilder- und Lichtreklame-Ausbildungsverordnung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Schilder- und Lichtreklameherstellers und der Schilder- und Lichtreklameherstellerin wird nach § 25 der Handwerksordnung zur Ausbildung für das Gewerbe Nummer 53, Schilder- und Lichtreklamehersteller, der Anlage B Abschnitt 1 der Handwerksordnung staatlich anerkannt.</w:t>
      </w:r>
    </w:p>
    <w:p>
      <w:r>
        <w:rPr>
          <w:color w:val="555555"/>
          <w:sz w:val="17"/>
        </w:rPr>
        <w:t xml:space="preserve">Zitiervorschlag: § 1 SchLichtReklAusbV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https://recht.nulegal.eu/gesetze/SchLichtReklAusbV/1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