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Während der Ferien ist die Versorgung der Schüler mit einem warmen Mittagessen und mit Trinkmilch zu gewährleisten.</w:t>
      </w:r>
    </w:p>
    <w:p>
      <w:r>
        <w:t xml:space="preserve">(2) Die Abgabe einer warmen Mahlzeit an Schüler, die an den örtlichen Sommerferienspielen teilnehmen, ist kostenlos.</w:t>
      </w:r>
    </w:p>
    <w:p>
      <w:r>
        <w:t xml:space="preserve">(3) Die Abgabe einer warmen Mahlzeit an Schüler, die an keiner Form der Feriengestaltung teilnehmen, erfolgt gemäß § 7.</w:t>
      </w:r>
    </w:p>
    <w:p>
      <w:r>
        <w:rPr>
          <w:color w:val="555555"/>
          <w:sz w:val="17"/>
        </w:rPr>
        <w:t xml:space="preserve">Zitiervorschlag: § 9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