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der Grundlage der Zielstellung der Volkswirtschaftspläne sind in die planmäßige Versorgung mit Schülerspeisung bevorzugt einzubeziehen:</w:t>
      </w:r>
    </w:p>
    <w:p>
      <w:pPr>
        <w:ind w:left="420"/>
      </w:pPr>
      <w:r>
        <w:t xml:space="preserve">a) Schüler und Lehrlinge, deren Mütter berufstätig sind oder studieren,</w:t>
      </w:r>
    </w:p>
    <w:p>
      <w:pPr>
        <w:ind w:left="420"/>
      </w:pPr>
      <w:r>
        <w:t xml:space="preserve">b) Schüler und Lehrlinge, die einen längeren Fußweg oder eine Fahrstrecke zur Schule zurückzulegen haben,</w:t>
      </w:r>
    </w:p>
    <w:p>
      <w:pPr>
        <w:ind w:left="420"/>
      </w:pPr>
      <w:r>
        <w:t xml:space="preserve">c) Schüler, die den Schulhort besuchen,</w:t>
      </w:r>
    </w:p>
    <w:p>
      <w:pPr>
        <w:ind w:left="420"/>
      </w:pPr>
      <w:r>
        <w:t xml:space="preserve">d) Schüler und Lehrlinge aus kinderreichen Familien sowie</w:t>
      </w:r>
    </w:p>
    <w:p>
      <w:pPr>
        <w:ind w:left="420"/>
      </w:pPr>
      <w:r>
        <w:t xml:space="preserve">e) Schüler und Lehrlinge, deren Teilnahme aus anderen dringenden Gründen erforderlich ist.</w:t>
      </w:r>
    </w:p>
    <w:p>
      <w:r>
        <w:t xml:space="preserve">(2) Kinderspeisung erhalten alle Kinder in Kindergärten.</w:t>
      </w:r>
    </w:p>
    <w:p>
      <w:r>
        <w:rPr>
          <w:color w:val="555555"/>
          <w:sz w:val="17"/>
        </w:rPr>
        <w:t xml:space="preserve">Zitiervorschlag: § 3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