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SchKiSpV</w:t>
      </w:r>
    </w:p>
    <w:p>
      <w:r>
        <w:rPr>
          <w:color w:val="555555"/>
          <w:sz w:val="18"/>
        </w:rPr>
        <w:t xml:space="preserve">Verordnung über die Schüler- und Kinderspeisung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Leiter der Betriebe und Einrichtungen, für die § 24 Abs. 1 nicht zutrifft, sind verantwortlich dafür, daß die materiellen und finanziellen Voraussetzungen, einschließlich der Arbeitskräfte, zur Durchführung der ihnen übertragenen Aufgaben bei der Entwicklung der Schüler- und Kinderspeisung in den Plan eingeordnet werden. Sie haben die Sicherung und ständige Verbesserung der Qualität der Schüler- und Kinderspeisung in ihre Leitungstätigkeit und in den sozialistischen Wettbewerb einzubeziehen.</w:t>
      </w:r>
    </w:p>
    <w:p>
      <w:r>
        <w:t xml:space="preserve">(2) Die Betriebe und Einrichtungen, die Schüler- und Kinderspeisung herstellen, sichern die betriebliche Kontrolle der Qualität der Speisen unter Einbeziehung gesellschaftlicher Kräfte.</w:t>
      </w:r>
    </w:p>
    <w:p>
      <w:r>
        <w:rPr>
          <w:color w:val="555555"/>
          <w:sz w:val="17"/>
        </w:rPr>
        <w:t xml:space="preserve">Zitiervorschlag: § 25 SchKiSpV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https://recht.nulegal.eu/gesetze/SchKiSpV/25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