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SchKiSpV</w:t>
      </w:r>
    </w:p>
    <w:p>
      <w:r>
        <w:rPr>
          <w:color w:val="555555"/>
          <w:sz w:val="18"/>
        </w:rPr>
        <w:t xml:space="preserve">Verordnung über die Schüler- und Kinderspeisung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Räte der Bezirke und Kreise sind für die planmäßige Entwicklung der Schüler- und Kinderspeisung sowie der Trinkmilchversorgung in ihrem Territorium verantwortlich. Sie legen in Durchführung der Fünfjahrpläne und der jährlichen Volkswirtschafts- und Haushaltspläne Maßnahmen zur qualitäts- und bedarfsgerechten Schüler- und Kinderspeisung fest und organisieren das Zusammenwirken mit den gesellschaftlichen Kräften zur Lösung der Aufgaben.</w:t>
      </w:r>
    </w:p>
    <w:p>
      <w:r>
        <w:t xml:space="preserve">(2) Die Räte der Bezirke und Kreise gewährleisten in Zusammenarbeit mit den Räten der Städte und Gemeinden sowie mit den wirtschaftsleitenden Organen und Betrieben des Territoriums</w:t>
      </w:r>
    </w:p>
    <w:p>
      <w:pPr>
        <w:ind w:left="420"/>
      </w:pPr>
      <w:r>
        <w:t xml:space="preserve">a) die Anwendung der Kapazitätsnormative gemäß § 11 beim Bau neuer Schulen und Kindergärten,</w:t>
      </w:r>
    </w:p>
    <w:p>
      <w:pPr>
        <w:ind w:left="420"/>
      </w:pPr>
      <w:r>
        <w:t xml:space="preserve">b) die Ausarbeitung der Zielstellung zur planmäßigen Entwicklung der Schüler- und Kinderspeisung im Territorium,</w:t>
      </w:r>
    </w:p>
    <w:p>
      <w:pPr>
        <w:ind w:left="420"/>
      </w:pPr>
      <w:r>
        <w:t xml:space="preserve">c) die Erarbeitung der Grundlinie der Entwicklung des Netzes der Produktions- und Versorgungseinrichtungen für die Schüler- und Kinderspeisung im Rahmen der Handelsnetzplanung,</w:t>
      </w:r>
    </w:p>
    <w:p>
      <w:pPr>
        <w:ind w:left="420"/>
      </w:pPr>
      <w:r>
        <w:t xml:space="preserve">d) die Bedarfsermittlung an küchentechnischen Ausrüstungen, Ausstattungen und Speisentransportbehältern sowie deren zweckentsprechenden Einsatz für die Schüler- und Kinderspeisung,</w:t>
      </w:r>
    </w:p>
    <w:p>
      <w:pPr>
        <w:ind w:left="420"/>
      </w:pPr>
      <w:r>
        <w:t xml:space="preserve">e) die Koordinierung der Qualifizierungsmaßnahmen für die auf dem Gebiet der Schüler- und Kinderspeisung tätigen Arbeitskräfte sowie die Bereitstellung der erforderlichen Kapazitäten für die Aus- und Weiterbildung,</w:t>
      </w:r>
    </w:p>
    <w:p>
      <w:pPr>
        <w:ind w:left="420"/>
      </w:pPr>
      <w:r>
        <w:t xml:space="preserve">f) die Planung der materiellen, finanziellen und personellen Fonds für die Schüler- und Kinderspeisung sowie die Kontrolle ihres zweckmäßigen Einsatzes,</w:t>
      </w:r>
    </w:p>
    <w:p>
      <w:pPr>
        <w:ind w:left="420"/>
      </w:pPr>
      <w:r>
        <w:t xml:space="preserve">g) die Durchsetzung der Grundsätze der gesunden Ernährung und hygienischen Erfordernisse,</w:t>
      </w:r>
    </w:p>
    <w:p>
      <w:pPr>
        <w:ind w:left="420"/>
      </w:pPr>
      <w:r>
        <w:t xml:space="preserve">h) die Bereitstellung des erforderlichen und geeigneten Transportraumes für die Schüler- und Kinderspeisung, einschließlich der Trinkmilch, sowie die Kontrolle der Durchführung des Transports,</w:t>
      </w:r>
    </w:p>
    <w:p>
      <w:pPr>
        <w:ind w:left="420"/>
      </w:pPr>
      <w:r>
        <w:t xml:space="preserve">i) die Bilanzierung des Bedarfs an Schüler- und Kinderspeisung mit den Speisenproduktions- und Esseneinnahmekapazitäten auf der Grundlage von territorialen Kapazitätsbilanzen,</w:t>
      </w:r>
    </w:p>
    <w:p>
      <w:pPr>
        <w:ind w:left="420"/>
      </w:pPr>
      <w:r>
        <w:t xml:space="preserve">j) den Erfahrungsaustausch und Leistungsvergleich zwischen Betrieben und Einrichtungen und nehmen Einfluß auf den sozialistischen Wettbewerb,</w:t>
      </w:r>
    </w:p>
    <w:p>
      <w:pPr>
        <w:ind w:left="420"/>
      </w:pPr>
      <w:r>
        <w:t xml:space="preserve">k) Kontrollen über die Einhaltung der Richtpreise und der Rechtsvorschriften für die Kalkulation der Schüler- und Kinderspeisung.</w:t>
      </w:r>
    </w:p>
    <w:p>
      <w:r>
        <w:t xml:space="preserve">(3) Die Aufgaben der Fachorgane der Räte der Bezirke und Kreise regeln sich im Sinne der in dieser Verordnung festgelegten Verantwortung der zentralen Staatsorgane.</w:t>
      </w:r>
    </w:p>
    <w:p>
      <w:r>
        <w:rPr>
          <w:color w:val="555555"/>
          <w:sz w:val="17"/>
        </w:rPr>
        <w:t xml:space="preserve">Zitiervorschlag: § 23 SchKiSpV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https://recht.nulegal.eu/gesetze/SchKiSpV/23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