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SchKiSpV</w:t>
      </w:r>
    </w:p>
    <w:p>
      <w:r>
        <w:rPr>
          <w:color w:val="555555"/>
          <w:sz w:val="18"/>
        </w:rPr>
        <w:t xml:space="preserve">Verordnung über die Schüler- und Kinderspeisung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Leiter der Staatlichen Zentralverwaltung für Statistik sichert die Abrechnung der geplanten Kennziffern für die Schüler- und Kinderspeisung und gewährleistet die staatliche Berichterstattung zu Schwerpunkten der Entwicklung der Schüler- und Kinderspeisung.</w:t>
      </w:r>
    </w:p>
    <w:p>
      <w:r>
        <w:rPr>
          <w:color w:val="555555"/>
          <w:sz w:val="17"/>
        </w:rPr>
        <w:t xml:space="preserve">Zitiervorschlag: § 21 SchKiSpV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https://recht.nulegal.eu/gesetze/SchKiSpV/21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