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SchKiSpV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Durchführung der Schüler- und Kinderspeisung wird durch die örtlichen Räte geleitet. Sie sichern die Durchführung durch staatliche Planauflagen, Versorgungsaufträge bzw. durch Auflagenerteilung an Betriebe und Einrichtungen.</w:t>
      </w:r>
    </w:p>
    <w:p>
      <w:r>
        <w:t xml:space="preserve">(2) Die Entwicklung der Schüler- und Kinderspeisung ist mit einer hohen versorgungspolitischen und ökonomischen Effektivität zu planen und durchzuführen. Die dafür erforderlichen Fonds sind in die Pläne der an der Schüler- und Kinderspeisung beteiligten Betriebe und Einrichtungen entsprechend den Rechtsvorschriften einzuordnen.</w:t>
      </w:r>
    </w:p>
    <w:p>
      <w:r>
        <w:t xml:space="preserve">(3) Es ist eine hohe Qualität der Schüler- und Kinderspeisung zu gewährleisten. Alle Maßnahmen zur Veränderung von Unterstellungsverhältnissen, Übertragung von Grundfonds und Planstellen sowie zur Bildung neuer Betriebe und Einrichtungen, die Schüler- und Kinderspeisung herstellen, sind erst dann vorzunehmen, wenn die erforderlichen Voraussetzungen vorhanden sind, um die Qualität des Essens, die Versorgungsleistungen sowie die Esseneinnahmebedingungen weiter zu verbessern.</w:t>
      </w:r>
    </w:p>
    <w:p>
      <w:r>
        <w:rPr>
          <w:color w:val="555555"/>
          <w:sz w:val="17"/>
        </w:rPr>
        <w:t xml:space="preserve">Zitiervorschlag: § 12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