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SchKiSpV — Geltungsbereich</w:t>
      </w:r>
    </w:p>
    <w:p>
      <w:r>
        <w:rPr>
          <w:color w:val="555555"/>
          <w:sz w:val="18"/>
        </w:rPr>
        <w:t xml:space="preserve">Verordnung über die Schüler- und Kinderspeisung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Bestimmungen dieser Verordnung gelten für die Versorgung der</w:t>
      </w:r>
    </w:p>
    <w:p>
      <w:pPr>
        <w:ind w:left="420"/>
      </w:pPr>
      <w:r>
        <w:t xml:space="preserve">- Schüler der allgemeinbildenden Schulen</w:t>
      </w:r>
    </w:p>
    <w:p>
      <w:pPr>
        <w:ind w:left="420"/>
      </w:pPr>
      <w:r>
        <w:t xml:space="preserve">- Lehrlinge in kommunalen Berufsschulen</w:t>
      </w:r>
    </w:p>
    <w:p>
      <w:pPr>
        <w:ind w:left="420"/>
      </w:pPr>
      <w:r>
        <w:t xml:space="preserve">- Kinder in Kindergärten</w:t>
      </w:r>
    </w:p>
    <w:p>
      <w:r>
        <w:t xml:space="preserve">mit warmen Hauptmahlzeiten und Trinkmilch.</w:t>
      </w:r>
    </w:p>
    <w:p>
      <w:r>
        <w:t xml:space="preserve">(2) Die Bestimmungen dieser Verordnung gelten für alle an der Schüler- und Kinderspeisung beteiligten volkseigenen Betriebe, Kombinate, Genossenschaften, Einrichtungen und Staatsorgane (nachfolgend Betriebe und Einrichtungen genannt). Sie beziehen sich auf die Produktion, den Transport und die Ausgabe der Schüler- und Kinderspeisung sowie auf die Esseneinnahmebedingungen.</w:t>
      </w:r>
    </w:p>
    <w:p>
      <w:r>
        <w:rPr>
          <w:color w:val="555555"/>
          <w:sz w:val="17"/>
        </w:rPr>
        <w:t xml:space="preserve">Zitiervorschlag: § 1 SchKiSpV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https://recht.nulegal.eu/gesetze/SchKiSpV/1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