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SchHaltHygV — Zusätzliche Anforderungen an Zuchtbetriebe</w:t>
      </w:r>
    </w:p>
    <w:p>
      <w:r>
        <w:rPr>
          <w:color w:val="555555"/>
          <w:sz w:val="18"/>
        </w:rPr>
        <w:t xml:space="preserve">Schweinehaltungshygieneverordnung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Tierhalter eines Zuchtbetriebes mit mehr als drei Sauenplätzen hat für jede Sau unverzüglich</w:t>
      </w:r>
    </w:p>
    <w:p>
      <w:pPr>
        <w:ind w:left="420"/>
      </w:pPr>
      <w:r>
        <w:t xml:space="preserve">1. Belegungsdatum,</w:t>
      </w:r>
    </w:p>
    <w:p>
      <w:pPr>
        <w:ind w:left="420"/>
      </w:pPr>
      <w:r>
        <w:t xml:space="preserve">2. den Nachweis über den zur Zucht verwendeten Eber,</w:t>
      </w:r>
    </w:p>
    <w:p>
      <w:pPr>
        <w:ind w:left="420"/>
      </w:pPr>
      <w:r>
        <w:t xml:space="preserve">3. Umrauschen,</w:t>
      </w:r>
    </w:p>
    <w:p>
      <w:pPr>
        <w:ind w:left="420"/>
      </w:pPr>
      <w:r>
        <w:t xml:space="preserve">4. Aborte,</w:t>
      </w:r>
    </w:p>
    <w:p>
      <w:pPr>
        <w:ind w:left="420"/>
      </w:pPr>
      <w:r>
        <w:t xml:space="preserve">5. Wurfgröße (insgesamt geborene Ferkel je Wurf einschließlich totgeborener Ferkel),</w:t>
      </w:r>
    </w:p>
    <w:p>
      <w:pPr>
        <w:ind w:left="420"/>
      </w:pPr>
      <w:r>
        <w:t xml:space="preserve">6. lebendgeborene Ferkel je Wurf sowie</w:t>
      </w:r>
    </w:p>
    <w:p>
      <w:pPr>
        <w:ind w:left="420"/>
      </w:pPr>
      <w:r>
        <w:t xml:space="preserve">7. aufgezogene Ferkel je Wurf bis zum Absetzen</w:t>
      </w:r>
    </w:p>
    <w:p>
      <w:r>
        <w:t xml:space="preserve">zu dokumentieren. § 25 Absatz 3 der Viehverkehrsverordnung gilt entsprechend.</w:t>
      </w:r>
    </w:p>
    <w:p>
      <w:r>
        <w:t xml:space="preserve">(2) Steigt innerhalb eines Zeitraums von vier Wochen in einem Stall die Umrauschquote[1] auf über 20 vom Hundert oder die Abortquote[2] von über 2,5 vom Hundert an, so hat der Tierhalter eine Untersuchung durch den Tierarzt gemäß § 7 Absatz 1 zur Feststellung der Ursache zu veranlassen. § 8 Absatz 1 Satz 2 gilt entsprechend.</w:t>
      </w:r>
    </w:p>
    <w:p>
      <w:r>
        <w:t xml:space="preserve">1 Umrauschquote in vom Hundert = (Zahl der Umrauscher + Aborte vor dem 100. Trächtigkeitstag) x 100 Zahl der Belegungen einschließlich der Umrauschbelegungen</w:t>
      </w:r>
    </w:p>
    <w:p>
      <w:r>
        <w:t xml:space="preserve">2 Abortquote in vom Hundert = (Aborte vor dem 110. Tag + Aborte nach dem 110. Tag) x 100 Anzahl aller geborenen Würfe einschließlich Aborte nach dem 110. Tag + Aborte vor dem 110. Tag</w:t>
      </w:r>
    </w:p>
    <w:p>
      <w:r>
        <w:rPr>
          <w:color w:val="555555"/>
          <w:sz w:val="17"/>
        </w:rPr>
        <w:t xml:space="preserve">Zitiervorschlag: § 9 SchHaltHygV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https://recht.nulegal.eu/gesetze/SchHaltHygV/9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