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SchHaltHygV — Übergangsregelungen</w:t>
      </w:r>
    </w:p>
    <w:p>
      <w:r>
        <w:rPr>
          <w:color w:val="555555"/>
          <w:sz w:val="18"/>
        </w:rPr>
        <w:t xml:space="preserve">Schweinehaltungshygieneverordnung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Wer das Halten von Schweinen nicht nach § 3 Absatz 4 angezeigt hat, hat dies abweichend von § 3 Absatz 4 bis zum 31. Dezember 2014 anzuzeigen, soweit der zuständigen Behörde die dort genannten Angaben nicht bereits nach anderen Vorschriften zum Schutz vor Tierseuchen übermittelt worden sind.</w:t>
      </w:r>
    </w:p>
    <w:p>
      <w:r>
        <w:rPr>
          <w:color w:val="555555"/>
          <w:sz w:val="17"/>
        </w:rPr>
        <w:t xml:space="preserve">Zitiervorschlag: § 13 SchHaltHygV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https://recht.nulegal.eu/gesetze/SchHaltHygV/13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