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SchHaltHygV — Geltungsbereich</w:t>
      </w:r>
    </w:p>
    <w:p>
      <w:r>
        <w:rPr>
          <w:color w:val="555555"/>
          <w:sz w:val="18"/>
        </w:rPr>
        <w:t xml:space="preserve">Schweinehaltungshygieneverordnung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alle Betriebe, die Schweine zu Zucht- oder Mastzwecken halten.</w:t>
      </w:r>
    </w:p>
    <w:p>
      <w:r>
        <w:rPr>
          <w:color w:val="555555"/>
          <w:sz w:val="17"/>
        </w:rPr>
        <w:t xml:space="preserve">Zitiervorschlag: § 1 SchHaltHygV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https://recht.nulegal.eu/gesetze/SchHaltHygV/1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