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SchGeschUV</w:t>
      </w:r>
    </w:p>
    <w:p>
      <w:r>
        <w:rPr>
          <w:color w:val="555555"/>
          <w:sz w:val="18"/>
        </w:rPr>
        <w:t xml:space="preserve">Verordnung über die Übermittlung schiffahrtsgeschäftlicher Unterlagen an ausländische Stellen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Auf Grund des § 11 des Gesetzes über die Aufgaben des Bundes auf dem Gebiet der Seeschiffahrt vom 24. Mai 1965 (Bundesgesetzbl. II S. 833) wird verordnet:</w:t>
      </w:r>
    </w:p>
    <w:p>
      <w:r>
        <w:rPr>
          <w:color w:val="555555"/>
          <w:sz w:val="17"/>
        </w:rPr>
        <w:t xml:space="preserve">Zitiervorschlag: Eingangsformel SchGeschUV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https://recht.nulegal.eu/gesetze/SchGeschUV/eingangsformel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