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SchGeschUV</w:t>
      </w:r>
    </w:p>
    <w:p>
      <w:r>
        <w:rPr>
          <w:color w:val="555555"/>
          <w:sz w:val="18"/>
        </w:rPr>
        <w:t xml:space="preserve">Verordnung über die Übermittlung schiffahrtsgeschäftlicher Unterlagen an ausländische Stellen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(1) Genehmigungen können auch befristet für eine unbestimmte Anzahl gleichartiger Fälle (Sammelgenehmigung) erteilt werden.</w:t>
      </w:r>
    </w:p>
    <w:p>
      <w:r>
        <w:t xml:space="preserve">(2) Genehmigungen können mit Befristungen, Bedingungen, Auflagen und Widerrufsvorbehalten verbunden werden.</w:t>
      </w:r>
    </w:p>
    <w:p>
      <w:r>
        <w:t xml:space="preserve">(3) Die Genehmigung, die Versagung der Genehmigung sowie Rücknahme und der Widerruf einer Genehmigung bedürfen der Schriftform. Versagung, Rücknahme und Widerruf sind zu begründen.</w:t>
      </w:r>
    </w:p>
    <w:p>
      <w:r>
        <w:rPr>
          <w:color w:val="555555"/>
          <w:sz w:val="17"/>
        </w:rPr>
        <w:t xml:space="preserve">Zitiervorschlag: § 2 SchGeschUV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https://recht.nulegal.eu/gesetze/SchGeschUV/2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