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SchErrichtV (Bayern)</w:t>
      </w:r>
    </w:p>
    <w:p>
      <w:r>
        <w:rPr>
          <w:color w:val="555555"/>
          <w:sz w:val="18"/>
        </w:rPr>
        <w:t xml:space="preserve">Schulerrichtungsverordnung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26 Abs. 1 des Bayerischen Gesetzes über das Erziehungs- und Unterrichtswesen (BayEUG) in der Fassung der Bekanntmachung vom 31. Mai 2000 (GVBl S. 414, ber. S. 632, BayRS 2230-1-1-UK), zuletzt geändert durch Art. 10 des Gesetzes vom 20. Dezember 2007 (GVBl S. 919),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SchErrichtV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https://recht.nulegal.eu/gesetze/SchErrichtV/eingangsformel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