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SchErrichtV (Bayern) — Inkrafttreten, Außerkrafttreten</w:t>
      </w:r>
    </w:p>
    <w:p>
      <w:r>
        <w:rPr>
          <w:color w:val="555555"/>
          <w:sz w:val="18"/>
        </w:rPr>
        <w:t xml:space="preserve">Schulerrichtungsverordnung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 Verordnung tritt am 1. August 2008 in Kraft.</w:t>
      </w:r>
    </w:p>
    <w:p>
      <w:r>
        <w:t xml:space="preserve">(2) Anlage 3 Teil 3 Nr. 1, Anlage 5 Nr. 3.6 und 3.7 sowie Anlage 6 Teil 1 Nr. 4.4 treten mit Ablauf des 31. Juli 2028 außer Kraft.</w:t>
      </w:r>
    </w:p>
    <w:p>
      <w:r>
        <w:rPr>
          <w:color w:val="555555"/>
          <w:sz w:val="17"/>
        </w:rPr>
        <w:t xml:space="preserve">Zitiervorschlag: § 3 SchErrichtV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https://recht.nulegal.eu/gesetze/SchErrichtV/3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