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SchBesV 2013 — Inkrafttreten, Außerkrafttreten</w:t>
      </w:r>
    </w:p>
    <w:p>
      <w:r>
        <w:rPr>
          <w:color w:val="555555"/>
          <w:sz w:val="18"/>
        </w:rPr>
        <w:t xml:space="preserve">Schiffsbesetzungsverordnung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1. August 2013 in Kraft.</w:t>
      </w:r>
    </w:p>
    <w:p>
      <w:r>
        <w:t xml:space="preserve">(2) Gleichzeitig tritt die Schiffsbesetzungsverordnung vom 26. August 1998 (BGBl. I S. 2577), die zuletzt durch Artikel 524 der Verordnung vom 31. Oktober 2006 (BGBl. I S. 2407) geändert worden ist, außer Kraft.</w:t>
      </w:r>
    </w:p>
    <w:p>
      <w:r>
        <w:rPr>
          <w:color w:val="555555"/>
          <w:sz w:val="17"/>
        </w:rPr>
        <w:t xml:space="preserve">Zitiervorschlag: § 13 SchBesV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https://recht.nulegal.eu/gesetze/SchBesV%202013/13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