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SchBerG</w:t>
      </w:r>
    </w:p>
    <w:p>
      <w:r>
        <w:rPr>
          <w:color w:val="555555"/>
          <w:sz w:val="18"/>
        </w:rPr>
        <w:t xml:space="preserve">Schutzbereichgesetz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es zur Erreichung der Zwecke des Schutzbereichs erforderlich ist, kann auch die landwirtschaftliche Nutzung der innerhalb des Schutzbereichs gelegenen Grundstücke beschränkt werden.</w:t>
      </w:r>
    </w:p>
    <w:p>
      <w:r>
        <w:t xml:space="preserve">(2) Wird die landwirtschaftliche Nutzung beschränkt, soll auf die landwirtschaftliche Erzeugung Rücksicht genommen werden.</w:t>
      </w:r>
    </w:p>
    <w:p>
      <w:r>
        <w:rPr>
          <w:color w:val="555555"/>
          <w:sz w:val="17"/>
        </w:rPr>
        <w:t xml:space="preserve">Zitiervorschlag: § 4 SchBerG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https://recht.nulegal.eu/gesetze/SchBerG/4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