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SchBerG</w:t>
      </w:r>
    </w:p>
    <w:p>
      <w:r>
        <w:rPr>
          <w:color w:val="555555"/>
          <w:sz w:val="18"/>
        </w:rPr>
        <w:t xml:space="preserve">Schutzbereichgesetz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eine Handlung nach § 3 oder § 5 Abs. 2 ohne Genehmigung vornimmt,</w:t>
      </w:r>
    </w:p>
    <w:p>
      <w:pPr>
        <w:ind w:left="420"/>
      </w:pPr>
      <w:r>
        <w:t xml:space="preserve">2. einer vollziehbaren Anordnung nach § 4 oder § 5 Abs. 1 zuwiderhandelt oder</w:t>
      </w:r>
    </w:p>
    <w:p>
      <w:pPr>
        <w:ind w:left="420"/>
      </w:pPr>
      <w:r>
        <w:t xml:space="preserve">3. eine Handlung stört, die nach § 6 oder § 10 zu dulden ist.</w:t>
      </w:r>
    </w:p>
    <w:p>
      <w:r>
        <w:t xml:space="preserve">(2) Die Ordnungswidrigkeit kann mit einer Geldbuße bis zu fünftausend Euro geahndet werden.</w:t>
      </w:r>
    </w:p>
    <w:p>
      <w:r>
        <w:t xml:space="preserve">(3) Bildgeräte, die zur Begehung oder Vorbereitung einer Ordnungswidrigkeit nach Absatz 1 Nr. 1 in Verbindung mit § 5 Abs. 2 gebraucht worden oder bestimmt gewesen sind, sowie Lichtbilder, Zeichnungen, Skizzen und andere bildliche Darstellungen, auf die sich eine solche Ordnungswidrigkeit bezieht, können eingezogen werden.</w:t>
      </w:r>
    </w:p>
    <w:p>
      <w:r>
        <w:t xml:space="preserve">(4) Verwaltungsbehörde im Sinne des § 36 Abs. 1 Nr. 1 des Gesetzes über Ordnungswidrigkeiten ist die Schutzbereichbehörde.</w:t>
      </w:r>
    </w:p>
    <w:p>
      <w:r>
        <w:rPr>
          <w:color w:val="555555"/>
          <w:sz w:val="17"/>
        </w:rPr>
        <w:t xml:space="preserve">Zitiervorschlag: § 27 SchBerG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https://recht.nulegal.eu/gesetze/SchBerG/27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