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SchBerG</w:t>
      </w:r>
    </w:p>
    <w:p>
      <w:r>
        <w:rPr>
          <w:color w:val="555555"/>
          <w:sz w:val="18"/>
        </w:rPr>
        <w:t xml:space="preserve">Schutzbereichgesetz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Anfechtung der von den Schutzbereichbehörden erlassenen Verwaltungsakte gilt die Verwaltungsgerichtsordnung.</w:t>
      </w:r>
    </w:p>
    <w:p>
      <w:r>
        <w:rPr>
          <w:color w:val="555555"/>
          <w:sz w:val="17"/>
        </w:rPr>
        <w:t xml:space="preserve">Zitiervorschlag: § 26 SchBerG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https://recht.nulegal.eu/gesetze/SchBerG/26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