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23 SchBerG</w:t>
      </w:r>
    </w:p>
    <w:p>
      <w:r>
        <w:rPr>
          <w:color w:val="555555"/>
          <w:sz w:val="18"/>
        </w:rPr>
        <w:t xml:space="preserve">Schutzbereichgesetz</w:t>
      </w:r>
    </w:p>
    <w:p>
      <w:r>
        <w:rPr>
          <w:color w:val="555555"/>
          <w:sz w:val="18"/>
        </w:rPr>
        <w:t xml:space="preserve">Stand: 10.06.2019 (konsolidierte Textfassung, kein amtliches Inkrafttretensdatum)</w:t>
      </w:r>
    </w:p>
    <w:p>
      <w:r>
        <w:t xml:space="preserve">(1) Nach diesem Gesetz begründete Zahlungsansprüche verjähren in vier Jahren. Die Verjährung beginnt mit dem Schluß des Jahres, in dem der Anspruch entsteht. §§ 202 bis 225 des Bürgerlichen Gesetzbuchs gelten sinngemäß; der Klageerhebung (§ 209 des Bürgerlichen Gesetzbuchs) steht die Stellung des Antrags bei der Festsetzungsbehörde gleich.</w:t>
      </w:r>
    </w:p>
    <w:p>
      <w:r>
        <w:t xml:space="preserve">(2) Die Vorschriften über den Verlust von Ansprüchen nach Artikel 8 Abs. 6 des Finanzvertrags bleiben unberührt.</w:t>
      </w:r>
    </w:p>
    <w:p>
      <w:r>
        <w:rPr>
          <w:color w:val="555555"/>
          <w:sz w:val="17"/>
        </w:rPr>
        <w:t xml:space="preserve">Zitiervorschlag: § 23 SchBerG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https://recht.nulegal.eu/gesetze/SchBerG/23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