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Kommt eine Einigung nicht zustande, so setzt die Festsetzungsbehörde die Höhe der Entschädigung fest, nachdem sie den Beteiligten Gelegenheit zur Äußerung gegeben hat.</w:t>
      </w:r>
    </w:p>
    <w:p>
      <w:r>
        <w:t xml:space="preserve">(2) Festgesetzt wird durch schriftlichen Bescheid, in dem die Festsetzungsbehörde, der Zahlungspflichtige und der Zahlungsempfänger anzugeben sind und der eine Rechtsmittelbelehrung zu enthalten hat. Er ist den Beteiligten zuzustellen.</w:t>
      </w:r>
    </w:p>
    <w:p>
      <w:r>
        <w:rPr>
          <w:color w:val="555555"/>
          <w:sz w:val="17"/>
        </w:rPr>
        <w:t xml:space="preserve">Zitiervorschlag: § 19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