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SchBerG</w:t>
      </w:r>
    </w:p>
    <w:p>
      <w:r>
        <w:rPr>
          <w:color w:val="555555"/>
          <w:sz w:val="18"/>
        </w:rPr>
        <w:t xml:space="preserve">Schutzbereichgesetz</w:t>
      </w:r>
    </w:p>
    <w:p>
      <w:r>
        <w:rPr>
          <w:color w:val="555555"/>
          <w:sz w:val="18"/>
        </w:rPr>
        <w:t xml:space="preserve">Stand: 10.06.2019 (konsolidierte Textfassung, kein amtliches Inkrafttretensdatum)</w:t>
      </w:r>
    </w:p>
    <w:p>
      <w:r>
        <w:t xml:space="preserve">(1) Wird dem Eigentümer durch eine Einwirkung nach diesem Gesetz die wirtschaftliche Nutzung des Grundstücks nicht nur vorübergehend unzumutbar erschwert, so kann er die Entziehung des Eigentums am Grundstück verlangen. Treffen diese Voraussetzungen nur auf einen Teil des Grundstücks zu, so beschränkt sich das Recht, die Entziehung des Eigentums zu verlangen, auf diesen Teil, es sei denn, daß der übrige Teil für ihn keinen oder nur einen verhältnismäßig geringen Wert hätte.</w:t>
      </w:r>
    </w:p>
    <w:p>
      <w:r>
        <w:t xml:space="preserve">(2) Andere Berechtigte, denen die Ausübung ihres Rechtes nicht nur vorübergehend unzumutbar erschwert wird, können die Entziehung des Rechtes beantragen.</w:t>
      </w:r>
    </w:p>
    <w:p>
      <w:r>
        <w:rPr>
          <w:color w:val="555555"/>
          <w:sz w:val="17"/>
        </w:rPr>
        <w:t xml:space="preserve">Zitiervorschlag: § 15 SchBerG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https://recht.nulegal.eu/gesetze/SchBerG/15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SchBerG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