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SchBerG</w:t>
      </w:r>
    </w:p>
    <w:p>
      <w:r>
        <w:rPr>
          <w:color w:val="555555"/>
          <w:sz w:val="18"/>
        </w:rPr>
        <w:t xml:space="preserve">Schutzbereichgesetz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Wenn die Entschädigung für den Entzug oder die Beschränkung der Nutzung in einer wiederkehrenden Leistung besteht, ist sie in der Regel vierteljährlich nachträglich zu zahlen.</w:t>
      </w:r>
    </w:p>
    <w:p>
      <w:r>
        <w:t xml:space="preserve">(2) Vereinbarungen über eine einmalige Abfindung sind zulässig.</w:t>
      </w:r>
    </w:p>
    <w:p>
      <w:r>
        <w:rPr>
          <w:color w:val="555555"/>
          <w:sz w:val="17"/>
        </w:rPr>
        <w:t xml:space="preserve">Zitiervorschlag: § 14 SchBerG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https://recht.nulegal.eu/gesetze/SchBerG/14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