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Entschädigung nach § 12 wird nicht gezahlt, soweit einem Entschädigungsberechtigten infolge der Einwirkungen Vermögensvorteile erwachsen oder er diese bei gehöriger Sorgfalt in zumutbarer Weise hätte ziehen können.</w:t>
      </w:r>
    </w:p>
    <w:p>
      <w:r>
        <w:t xml:space="preserve">(2) Hat bei der Entstehung des Vermögensnachteils ein Verschulden des Entschädigungsberechtigten mitgewirkt, so gilt § 254 des Bürgerlichen Gesetzbuchs sinngemäß.</w:t>
      </w:r>
    </w:p>
    <w:p>
      <w:r>
        <w:rPr>
          <w:color w:val="555555"/>
          <w:sz w:val="17"/>
        </w:rPr>
        <w:t xml:space="preserve">Zitiervorschlag: § 13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