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SchBefV (Bayern) — Kostenerstattung</w:t>
      </w:r>
    </w:p>
    <w:p>
      <w:r>
        <w:rPr>
          <w:color w:val="555555"/>
          <w:sz w:val="18"/>
        </w:rPr>
        <w:t xml:space="preserve">Schülerbeförderungsverordnung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Familienbelastungsgrenze wird gemäß Art. 3 Abs. 2 Satz 2 Schulwegkostenfreiheitsgesetz (SchKfrG) auf 490 € festgesetzt.</w:t>
      </w:r>
    </w:p>
    <w:p>
      <w:r>
        <w:t xml:space="preserve">(2) Im Übrigen gilt für die Kostenerstattung nach Art. 3 Abs. 2 SchKfrG Folgendes:</w:t>
      </w:r>
    </w:p>
    <w:p>
      <w:r>
        <w:t xml:space="preserve">1. Die §§ 2 und 3 Abs. 1 bis 3 gelten entsprechend.</w:t>
      </w:r>
    </w:p>
    <w:p>
      <w:r>
        <w:t xml:space="preserve">2. Sind für die Kostenerstattung mehrere Aufgabenträger zuständig, entscheidet der Aufgabenträger, der zuerst mit der Sache befasst worden ist; er kann von den anderen Aufgabenträgern Ersatz seiner Zahlungen insoweit verlangen, als diese bei anteiliger Berücksichtigung der Familienbelastungsgrenze Kostenerstattung zu leisten hätten.</w:t>
      </w:r>
    </w:p>
    <w:p>
      <w:r>
        <w:t xml:space="preserve">3. In begründeten Fällen können Voraus- oder Abschlagszahlungen auf die voraussichtliche Kostenerstattung geleistet werden.</w:t>
      </w:r>
    </w:p>
    <w:p>
      <w:r>
        <w:t xml:space="preserve">4. Der Aufgabenträger kann unter den Voraussetzungen des § 2 durch Schulbusse befördern; ist die Beförderung durch den Aufgabenträger wirtschaftlicher oder notwendig, da ein öffentlicher Linienverkehr fehlt, soll er dies tun; hierfür erhebt der Aufgabenträger einen angemessenen Unkostenbeitrag.</w:t>
      </w:r>
    </w:p>
    <w:p>
      <w:r>
        <w:rPr>
          <w:color w:val="555555"/>
          <w:sz w:val="17"/>
        </w:rPr>
        <w:t xml:space="preserve">Zitiervorschlag: § 4 SchBefV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https://recht.nulegal.eu/gesetze/SchBefV/4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