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SchBefV (Bayern) — Erfüllung der Beförderungspflicht</w:t>
      </w:r>
    </w:p>
    <w:p>
      <w:r>
        <w:rPr>
          <w:color w:val="555555"/>
          <w:sz w:val="18"/>
        </w:rPr>
        <w:t xml:space="preserve">Schülerbeförderungsverordnung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Aufgabenträger arbeiten untereinander und mit den Schulen zusammen. Die Belange der Schülerinnen und Schüler, der Schulen und der Aufgabenträger sind angemessen zu berücksichtigen.</w:t>
      </w:r>
    </w:p>
    <w:p>
      <w:r>
        <w:t xml:space="preserve">(2) Die Aufgabenträger erfüllen ihre Beförderungspflicht vorrangig mit Hilfe des öffentlichen Personenverkehrs. Andere Verkehrsmittel, z.B. Schulbus, privates Kraftfahrzeug, Taxi oder Mietwagen, sind nur einzusetzen, soweit dies notwendig oder insgesamt wirtschaftlicher ist.</w:t>
      </w:r>
    </w:p>
    <w:p>
      <w:r>
        <w:t xml:space="preserve">(3) Der Aufgabenträger kann seine Beförderungspflicht im Einzelfall dadurch erfüllen, daß er für den zumutbaren Einsatz von privaten Kraftfahrzeugen eine Wegstreckenentschädigung anbietet. Für deren Höhe gilt Art. 6 Abs. 6 des Bayerischen Reisekostengesetzes entsprechend. Bei einer möglichen Benutzung öffentlicher Verkehrsmittel kann die Wegstreckenentschädigung auf die Höhe der Kosten für die Benutzung dieses Verkehrsmittels begrenzt werden.</w:t>
      </w:r>
    </w:p>
    <w:p>
      <w:r>
        <w:rPr>
          <w:color w:val="555555"/>
          <w:sz w:val="17"/>
        </w:rPr>
        <w:t xml:space="preserve">Zitiervorschlag: § 3 SchBefV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https://recht.nulegal.eu/gesetze/SchBefV/3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