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SchBefV (Bayern) — Zuständigkeit</w:t>
      </w:r>
    </w:p>
    <w:p>
      <w:r>
        <w:rPr>
          <w:color w:val="555555"/>
          <w:sz w:val="18"/>
        </w:rPr>
        <w:t xml:space="preserve">Schülerbeförderungsverordnung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notwendige Beförderung der Schülerinnen und Schüler</w:t>
      </w:r>
    </w:p>
    <w:p>
      <w:r>
        <w:t xml:space="preserve">1. öffentlicher Grundschulen, Mittelschulen und Förderschulen,</w:t>
      </w:r>
    </w:p>
    <w:p>
      <w:r>
        <w:t xml:space="preserve">2. öffentlicher oder staatlich anerkannter Realschulen, Gymnasien, Berufsfachschulen – ohne Berufsfachschulen in Teilzeitform –, zweistufigen Wirtschaftsschulen und drei- bzw. vierstufigen Wirtschaftsschulen bis einschließlich Jahrgangsstufe 10,</w:t>
      </w:r>
    </w:p>
    <w:p>
      <w:r>
        <w:t xml:space="preserve">3. öffentlicher oder staatlich anerkannter Berufsschulen bei Vollzeitunterricht,</w:t>
      </w:r>
    </w:p>
    <w:p>
      <w:r>
        <w:t xml:space="preserve">4. öffentlicher oder staatlich anerkannter Realschulen, Gymnasien, Berufsschulen, Berufsfachschulen – ohne Berufsfachschulen in Teilzeitform –, Wirtschaftsschulen, Fachoberschulen und Berufsoberschulen, die wegen einer dauernden Behinderung auf eine Beförderung angewiesen sind,</w:t>
      </w:r>
    </w:p>
    <w:p>
      <w:r>
        <w:t xml:space="preserve">ist durch den Aufgabenträger sicherzustellen. Aufgabenträger ist bei Grundschulen, Mittelschulen und Förderschulen der Träger des Schulaufwands, im übrigen die kreisfreie Stadt oder der Landkreis des gewöhnlichen Aufenthalts der Schülerinnen und Schüler.</w:t>
      </w:r>
    </w:p>
    <w:p>
      <w:r>
        <w:rPr>
          <w:color w:val="555555"/>
          <w:sz w:val="17"/>
        </w:rPr>
        <w:t xml:space="preserve">Zitiervorschlag: § 1 SchBefV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https://recht.nulegal.eu/gesetze/SchBefV/1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