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SchBFrdFlaggV — Ordnungswidrigkeiten</w:t>
      </w:r>
    </w:p>
    <w:p>
      <w:r>
        <w:rPr>
          <w:color w:val="555555"/>
          <w:sz w:val="18"/>
        </w:rPr>
        <w:t xml:space="preserve">Verordnung über die Besatzung von Schiffen unter fremder Flagge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15 Abs. 1 Nr. 2 des Gesetzes über die Aufgaben des Bundes auf dem Gebiet der Seeschiffahrt handelt, wer vorsätzlich oder fahrlässig einer vollziehbaren Anordnung nach § 4 Abs. 2 Satz 2 zuwiderhandelt.</w:t>
      </w:r>
    </w:p>
    <w:p>
      <w:r>
        <w:t xml:space="preserve">(2) Die Zuständigkeit für die Verfolgung und Ahndung von Ordnungswidrigkeiten nach Absatz 1 wird auf die See-Berufsgenossenschaft übertragen.</w:t>
      </w:r>
    </w:p>
    <w:p>
      <w:r>
        <w:rPr>
          <w:color w:val="555555"/>
          <w:sz w:val="17"/>
        </w:rPr>
        <w:t xml:space="preserve">Zitiervorschlag: § 7 SchBFrdFlaggV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https://recht.nulegal.eu/gesetze/SchBFrdFlaggV/7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