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SchBFrdFlaggV — Verantwortlichkeit</w:t>
      </w:r>
    </w:p>
    <w:p>
      <w:r>
        <w:rPr>
          <w:color w:val="555555"/>
          <w:sz w:val="18"/>
        </w:rPr>
        <w:t xml:space="preserve">Verordnung über die Besatzung von Schiffen unter fremder Flagge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Eigentümer, der Besitzer und der Schiffsführer eines Schiffes unter fremder Flagge sind dafür verantwortlich, daß das Schiff den §§ 2 und 3 entspricht und daß Anordnungen der See-Berufsgenossenschaft erfüllt werden.</w:t>
      </w:r>
    </w:p>
    <w:p>
      <w:r>
        <w:rPr>
          <w:color w:val="555555"/>
          <w:sz w:val="17"/>
        </w:rPr>
        <w:t xml:space="preserve">Zitiervorschlag: § 6 SchBFrdFlaggV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https://recht.nulegal.eu/gesetze/SchBFrdFlaggV/6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