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SchBFrdFlaggV — Unterrichtung über Mängel und Maßnahmen</w:t>
      </w:r>
    </w:p>
    <w:p>
      <w:r>
        <w:rPr>
          <w:color w:val="555555"/>
          <w:sz w:val="18"/>
        </w:rPr>
        <w:t xml:space="preserve">Verordnung über die Besatzung von Schiffen unter fremder Flagge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Mängel nach den §§ 2 oder 3 sowie über Anordnungen unterrichtet die See-Berufsgenossenschaft unverzüglich</w:t>
      </w:r>
    </w:p>
    <w:p>
      <w:pPr>
        <w:ind w:left="420"/>
      </w:pPr>
      <w:r>
        <w:t xml:space="preserve">1. den Kapitän des Schiffes,</w:t>
      </w:r>
    </w:p>
    <w:p>
      <w:pPr>
        <w:ind w:left="420"/>
      </w:pPr>
      <w:r>
        <w:t xml:space="preserve">2. den nächst erreichbaren für Seeschiffahrtsfragen zuständigen konsularischen, diplomatischen oder sonstigen Vertreter des Flaggenstaates,</w:t>
      </w:r>
    </w:p>
    <w:p>
      <w:pPr>
        <w:ind w:left="420"/>
      </w:pPr>
      <w:r>
        <w:t xml:space="preserve">3. die zuständige Hafenbehörde und</w:t>
      </w:r>
    </w:p>
    <w:p>
      <w:pPr>
        <w:ind w:left="420"/>
      </w:pPr>
      <w:r>
        <w:t xml:space="preserve">4. das Bundesministerium für Verkehr und digitale Infrastruktur.</w:t>
      </w:r>
    </w:p>
    <w:p>
      <w:r>
        <w:rPr>
          <w:color w:val="555555"/>
          <w:sz w:val="17"/>
        </w:rPr>
        <w:t xml:space="preserve">Zitiervorschlag: § 5 SchBFrdFlaggV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https://recht.nulegal.eu/gesetze/SchBFrdFlaggV/5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