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SchAusrV 2026 — Ausnahmen für nicht verfügbare Ausrüstung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Ist eine bestimmte Schiffsausrüstung, die § 1 Absatz 1 Nummer 2 unterliegt, mit Steuerrad-Kennzeichen auf dem Markt nicht verfügbar, kann die zuständige Behörde die Ausrüstung eines Schiffes mit anderer Schiffsausrüstung zulassen, wenn die Ausrüstung den Anforderungen nach § 4 weitestgehend entspricht.</w:t>
      </w:r>
    </w:p>
    <w:p>
      <w:r>
        <w:t xml:space="preserve">(2) Für Schiffsausrüstung nach Absatz 1 stellt die zuständige Behörde eine vorläufige Zulassungsbescheinigung mit folgenden Informationen aus:</w:t>
      </w:r>
    </w:p>
    <w:p>
      <w:pPr>
        <w:ind w:left="420"/>
      </w:pPr>
      <w:r>
        <w:t xml:space="preserve">1. die Angabe der mit dem Steuerrad-Kennzeichen versehenen Ausrüstung, die ersetzt werden soll,</w:t>
      </w:r>
    </w:p>
    <w:p>
      <w:pPr>
        <w:ind w:left="420"/>
      </w:pPr>
      <w:r>
        <w:t xml:space="preserve">2. der Hinweis darauf, dass die mit dem Steuerrad-Kennzeichen versehene Ausrüstung auf dem Markt nicht verfügbar ist,</w:t>
      </w:r>
    </w:p>
    <w:p>
      <w:pPr>
        <w:ind w:left="420"/>
      </w:pPr>
      <w:r>
        <w:t xml:space="preserve">3. die Entwurfs-, Bau- und Leistungsanforderungen, anhand derer die Ausrüstung zugelassen wurde, und</w:t>
      </w:r>
    </w:p>
    <w:p>
      <w:pPr>
        <w:ind w:left="420"/>
      </w:pPr>
      <w:r>
        <w:t xml:space="preserve">4. die zugrunde gelegten Prüfnormen.</w:t>
      </w:r>
    </w:p>
    <w:p>
      <w:r>
        <w:t xml:space="preserve">(3) Die zuständige Behörde hat die Europäische Kommission über die Ausstellung der vorläufigen Zulassungsbescheinigung nach Absatz 1 zu unterrichten.</w:t>
      </w:r>
    </w:p>
    <w:p>
      <w:r>
        <w:rPr>
          <w:color w:val="555555"/>
          <w:sz w:val="17"/>
        </w:rPr>
        <w:t xml:space="preserve">Zitiervorschlag: § 9 SchAusrV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https://recht.nulegal.eu/gesetze/SchAusrV%202026/9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