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SchAusrV 2026 — Ausnahmen zu Versuchs- oder Erprobungszwecken</w:t>
      </w:r>
    </w:p>
    <w:p>
      <w:r>
        <w:rPr>
          <w:color w:val="555555"/>
          <w:sz w:val="18"/>
        </w:rPr>
        <w:t xml:space="preserve">Schiffsausrüstungsverordnung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Berufsgenossenschaft kann die Ausstattung eines Schiffes mit nicht zugelassener Schiffsausrüstung zu Versuchs- oder Erprobungszwecken auf Antrag ausnahmsweise genehmigen, wenn diese keine zugelassene Schiffsausrüstung ersetzt, sondern sich zusätzlich an Bord befindet.</w:t>
      </w:r>
    </w:p>
    <w:p>
      <w:r>
        <w:t xml:space="preserve">(2) Die Berufsgenossenschaft hat die Genehmigung auf den von ihr für die Versuche oder Erprobungen für notwendig erachteten Zeitraum zu befristen.</w:t>
      </w:r>
    </w:p>
    <w:p>
      <w:r>
        <w:t xml:space="preserve">(3) Für die Schiffsausrüstung nach Absatz 1 hat die Berufsgenossenschaft eine Bescheinigung auszustellen, die ständig an Bord aufzubewahren ist. Sie muss den Zeitraum der Befristung nennen und kann Einschränkungen oder Bestimmungen zur Verwendung beinhalten.</w:t>
      </w:r>
    </w:p>
    <w:p>
      <w:r>
        <w:t xml:space="preserve">(4) Im Falle von Funk- oder Navigationsausrüstung hat die Berufsgenossenschaft vor einer Genehmigung nach Absatz 1 das Einvernehmen des Bundesamts für Seeschifffahrt und Hydrographie einzuholen.</w:t>
      </w:r>
    </w:p>
    <w:p>
      <w:r>
        <w:rPr>
          <w:color w:val="555555"/>
          <w:sz w:val="17"/>
        </w:rPr>
        <w:t xml:space="preserve">Zitiervorschlag: § 7 SchAusrV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https://recht.nulegal.eu/gesetze/SchAusrV%202026/7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