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SchAusrV 2026 — Ausnahmen aufgrund technischer Neuerungen</w:t>
      </w:r>
    </w:p>
    <w:p>
      <w:r>
        <w:rPr>
          <w:color w:val="555555"/>
          <w:sz w:val="18"/>
        </w:rPr>
        <w:t xml:space="preserve">Schiffsausrüstungsverordnung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(1) Die Berufsgenossenschaft kann die Ausstattung eines Schiffes mit nicht zugelassener Ausrüstung, die über technische Neuerungen verfügt, auf Antrag ausnahmsweise genehmigen, wenn</w:t>
      </w:r>
    </w:p>
    <w:p>
      <w:pPr>
        <w:ind w:left="420"/>
      </w:pPr>
      <w:r>
        <w:t xml:space="preserve">1. es sich um zulassungspflichtige Schiffsausrüstung im Sinne des § 1 Absatz 1 Nummer 2 handelt,</w:t>
      </w:r>
    </w:p>
    <w:p>
      <w:pPr>
        <w:ind w:left="420"/>
      </w:pPr>
      <w:r>
        <w:t xml:space="preserve">2. die Schiffsausrüstung über technische Neuerungen verfügt, für die es noch kein Zulassungsverfahren gibt und</w:t>
      </w:r>
    </w:p>
    <w:p>
      <w:pPr>
        <w:ind w:left="420"/>
      </w:pPr>
      <w:r>
        <w:t xml:space="preserve">3. die Schiffsausrüstung gleichwertig zu zulassungspflichtiger Schiffsausrüstung im Sinne des § 1 Absatz 1 Nummer 2 ist.</w:t>
      </w:r>
    </w:p>
    <w:p>
      <w:r>
        <w:t xml:space="preserve">(2) Vor Erteilung der Genehmigung nach Absatz 1 hat die Berufsgenossenschaft die Gleichwertigkeit anhand von Versuchen oder auf andere Art und Weise festzustellen. Sie hat eine Bescheinigung über die Gleichwertigkeit zu zulassungspflichtiger Schiffsausrüstung im Sinne des § 1 Absatz 1 Nummer 2 auszustellen. Diese ist an Bord mitzuführen.</w:t>
      </w:r>
    </w:p>
    <w:p>
      <w:r>
        <w:t xml:space="preserve">(3) Im Falle von Funk- oder Navigationsausrüstung hat die Berufsgenossenschaft vor Erteilen der Genehmigung nach Absatz 1 das Einvernehmen des Bundesamts für Seeschifffahrt und Hydrographie einzuholen.</w:t>
      </w:r>
    </w:p>
    <w:p>
      <w:r>
        <w:t xml:space="preserve">(4) Nach Erteilung der Genehmigung nach Absatz 1 hat die Berufsgenossenschaft unverzüglich die Europäische Kommission und die anderen Mitgliedstaaten der Europäischen Union zu unterrichten und die Einzelheiten des Prüfungsverfahrens mitzuteilen, das der Erteilung der Ausnahmegenehmigung zugrunde liegt.</w:t>
      </w:r>
    </w:p>
    <w:p>
      <w:r>
        <w:rPr>
          <w:color w:val="555555"/>
          <w:sz w:val="17"/>
        </w:rPr>
        <w:t xml:space="preserve">Zitiervorschlag: § 6 SchAusrV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https://recht.nulegal.eu/gesetze/SchAusrV%202026/6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