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SchAusrV 2026 — Voraussetzungen für das Ausstellen von Schiffsausrüstung ohne Zulassung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Eine natürliche oder juristische Person darf nicht zugelassene Schiffsausrüstung, die einer Zulassungspflicht nach § 1 Absatz 1 Nummer 2 unterliegt, nur dann zu Zwecken der Werbung ausstellen, wenn sie deutlich darauf hinweist, dass die Schiffsausrüstung mit den Anforderungen nach § 4 nicht übereinstimmt und erst erworben werden kann, wenn die erforderliche Übereinstimmung hergestellt ist.</w:t>
      </w:r>
    </w:p>
    <w:p>
      <w:r>
        <w:t xml:space="preserve">(2) Beim Ausstellen solcher Schiffsausrüstung hat der Aussteller die erforderlichen Vorkehrungen zum Schutz der Seeverkehrssicherheit, der Gesundheit und der Umwelt zu treffen.</w:t>
      </w:r>
    </w:p>
    <w:p>
      <w:r>
        <w:rPr>
          <w:color w:val="555555"/>
          <w:sz w:val="17"/>
        </w:rPr>
        <w:t xml:space="preserve">Zitiervorschlag: § 5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